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92" w:rsidRDefault="00A75F12">
      <w:pPr>
        <w:tabs>
          <w:tab w:val="left" w:pos="836"/>
        </w:tabs>
        <w:spacing w:line="271" w:lineRule="exact"/>
        <w:ind w:left="476"/>
      </w:pPr>
      <w:bookmarkStart w:id="0" w:name="_GoBack"/>
      <w:bookmarkEnd w:id="0"/>
      <w:r>
        <w:rPr>
          <w:rStyle w:val="SubtleEmphasis"/>
          <w:rFonts w:ascii="Merriweather" w:hAnsi="Merriweather"/>
          <w:sz w:val="20"/>
          <w:szCs w:val="20"/>
        </w:rPr>
        <w:t>Područje primjene na koje se odnosi postupak unutarnjeg prijavljivanja nepravilnosti određeno je člankom 4. Zakona o zaštiti prijavitelja nepravilnosti.</w:t>
      </w:r>
    </w:p>
    <w:p w:rsidR="003A2B92" w:rsidRDefault="003A2B92">
      <w:pPr>
        <w:pStyle w:val="ListParagraph"/>
        <w:tabs>
          <w:tab w:val="left" w:pos="836"/>
        </w:tabs>
        <w:spacing w:line="271" w:lineRule="exact"/>
        <w:ind w:firstLine="0"/>
        <w:jc w:val="center"/>
      </w:pPr>
    </w:p>
    <w:p w:rsidR="003A2B92" w:rsidRDefault="003A2B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935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0"/>
        <w:gridCol w:w="851"/>
      </w:tblGrid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Javna nabava </w:t>
            </w:r>
          </w:p>
        </w:tc>
        <w:tc>
          <w:tcPr>
            <w:tcW w:w="85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Financijske </w:t>
            </w:r>
            <w:r>
              <w:rPr>
                <w:rFonts w:ascii="Merriweather" w:hAnsi="Merriweather"/>
                <w:sz w:val="20"/>
                <w:szCs w:val="20"/>
              </w:rPr>
              <w:t>usluge, proizvodi i tržišta te sprječavanje pranja novca i financiranja terorizma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Sigurnost i sukladnost proizvoda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Sigurnost prometa 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Zaštita okoliša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Zaštita od zračenja i nuklearna sigurnost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Sigurnost hrane i hrane za životinje, zdravlje i </w:t>
            </w:r>
            <w:r>
              <w:rPr>
                <w:rFonts w:ascii="Merriweather" w:hAnsi="Merriweather"/>
                <w:sz w:val="20"/>
                <w:szCs w:val="20"/>
              </w:rPr>
              <w:t>dobrobit životinja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Javno zdravlje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Zaštita potrošača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Zaštite privatnosti i osobnih podataka te sigurnost mrežnih i informacijskih sustava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 xml:space="preserve">Financijski interesi Europske unije 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Pravila Europske unije o tržišnom natjecanju i državnim potporama, kao i</w:t>
            </w:r>
            <w:r>
              <w:rPr>
                <w:rFonts w:ascii="Merriweather" w:hAnsi="Merriweather"/>
                <w:sz w:val="20"/>
                <w:szCs w:val="20"/>
              </w:rPr>
              <w:t xml:space="preserve"> povrede koje se odnose na unutarnje tržište u odnosu na radnje kojima se krše pravila o porezu na dobit ili aranžmane čija je svrha ostvariti poreznu prednost koja je u suprotnosti sa ciljem ili svrhom primjenjivog zakonodavstva o porezu na dobit </w:t>
            </w: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  <w:tr w:rsidR="003A2B92">
        <w:tblPrEx>
          <w:tblCellMar>
            <w:top w:w="0" w:type="dxa"/>
            <w:bottom w:w="0" w:type="dxa"/>
          </w:tblCellMar>
        </w:tblPrEx>
        <w:tc>
          <w:tcPr>
            <w:tcW w:w="85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A75F1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  <w:r>
              <w:rPr>
                <w:rFonts w:ascii="Merriweather" w:hAnsi="Merriweather"/>
                <w:sz w:val="20"/>
                <w:szCs w:val="20"/>
              </w:rPr>
              <w:t>Ostal</w:t>
            </w:r>
            <w:r>
              <w:rPr>
                <w:rFonts w:ascii="Merriweather" w:hAnsi="Merriweather"/>
                <w:sz w:val="20"/>
                <w:szCs w:val="20"/>
              </w:rPr>
              <w:t>o (navesti):</w:t>
            </w:r>
          </w:p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2B92" w:rsidRDefault="003A2B92">
            <w:pPr>
              <w:pStyle w:val="Default"/>
              <w:spacing w:after="27"/>
              <w:rPr>
                <w:rFonts w:ascii="Merriweather" w:hAnsi="Merriweather"/>
                <w:sz w:val="20"/>
                <w:szCs w:val="20"/>
              </w:rPr>
            </w:pPr>
          </w:p>
        </w:tc>
      </w:tr>
    </w:tbl>
    <w:p w:rsidR="003A2B92" w:rsidRDefault="003A2B92">
      <w:pPr>
        <w:rPr>
          <w:rFonts w:ascii="Merriweather" w:hAnsi="Merriweather"/>
          <w:sz w:val="20"/>
          <w:szCs w:val="20"/>
        </w:rPr>
      </w:pPr>
    </w:p>
    <w:p w:rsidR="003A2B92" w:rsidRDefault="003A2B92">
      <w:pPr>
        <w:rPr>
          <w:rFonts w:ascii="Merriweather" w:hAnsi="Merriweather"/>
          <w:sz w:val="20"/>
          <w:szCs w:val="20"/>
        </w:rPr>
      </w:pPr>
    </w:p>
    <w:sectPr w:rsidR="003A2B9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F12" w:rsidRDefault="00A75F12">
      <w:pPr>
        <w:spacing w:after="0" w:line="240" w:lineRule="auto"/>
      </w:pPr>
      <w:r>
        <w:separator/>
      </w:r>
    </w:p>
  </w:endnote>
  <w:endnote w:type="continuationSeparator" w:id="0">
    <w:p w:rsidR="00A75F12" w:rsidRDefault="00A75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erriweather"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F12" w:rsidRDefault="00A75F1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75F12" w:rsidRDefault="00A75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2B92"/>
    <w:rsid w:val="003A2B92"/>
    <w:rsid w:val="00A75F12"/>
    <w:rsid w:val="00E2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364DB3-6022-4E3E-9935-94F957D5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pPr>
      <w:widowControl w:val="0"/>
      <w:autoSpaceDE w:val="0"/>
      <w:spacing w:after="0" w:line="240" w:lineRule="auto"/>
      <w:ind w:left="836" w:hanging="360"/>
      <w:jc w:val="both"/>
    </w:pPr>
    <w:rPr>
      <w:rFonts w:ascii="Times New Roman" w:eastAsia="Times New Roman" w:hAnsi="Times New Roman"/>
    </w:rPr>
  </w:style>
  <w:style w:type="character" w:styleId="SubtleEmphasis">
    <w:name w:val="Subtle Emphasis"/>
    <w:basedOn w:val="DefaultParagraphFont"/>
    <w:rPr>
      <w:i/>
      <w:iCs/>
      <w:color w:val="404040"/>
    </w:rPr>
  </w:style>
  <w:style w:type="paragraph" w:customStyle="1" w:styleId="x02-naslov">
    <w:name w:val="x02-naslov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rPr>
      <w:b/>
      <w:bCs/>
    </w:rPr>
  </w:style>
  <w:style w:type="paragraph" w:customStyle="1" w:styleId="text-clanka-warnock-pro">
    <w:name w:val="text-clanka-warnock-pr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dc:description/>
  <cp:lastModifiedBy>sanja</cp:lastModifiedBy>
  <cp:revision>2</cp:revision>
  <dcterms:created xsi:type="dcterms:W3CDTF">2022-09-23T13:07:00Z</dcterms:created>
  <dcterms:modified xsi:type="dcterms:W3CDTF">2022-09-23T13:07:00Z</dcterms:modified>
</cp:coreProperties>
</file>